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62A5" w14:textId="77777777" w:rsidR="004265F9" w:rsidRDefault="00000000">
      <w:pPr>
        <w:spacing w:after="103" w:line="259" w:lineRule="auto"/>
        <w:ind w:left="900" w:right="0" w:firstLine="0"/>
        <w:jc w:val="left"/>
      </w:pPr>
      <w:r>
        <w:rPr>
          <w:b/>
          <w:sz w:val="21"/>
        </w:rPr>
        <w:t>Trade Name</w:t>
      </w:r>
      <w:r>
        <w:rPr>
          <w:sz w:val="21"/>
        </w:rPr>
        <w:t>:</w:t>
      </w:r>
      <w:r>
        <w:t xml:space="preserve"> </w:t>
      </w:r>
      <w:r>
        <w:rPr>
          <w:sz w:val="21"/>
        </w:rPr>
        <w:t>Polyol C7030</w:t>
      </w:r>
      <w:r>
        <w:rPr>
          <w:b/>
        </w:rPr>
        <w:t xml:space="preserve"> </w:t>
      </w:r>
      <w:r>
        <w:t xml:space="preserve"> </w:t>
      </w:r>
    </w:p>
    <w:p w14:paraId="7DD63977" w14:textId="77777777" w:rsidR="004265F9" w:rsidRDefault="00000000">
      <w:pPr>
        <w:spacing w:after="91" w:line="259" w:lineRule="auto"/>
        <w:ind w:left="0" w:right="0" w:firstLine="0"/>
        <w:jc w:val="left"/>
      </w:pPr>
      <w:r>
        <w:t xml:space="preserve">  </w:t>
      </w:r>
    </w:p>
    <w:p w14:paraId="1E678F28" w14:textId="77777777" w:rsidR="004265F9" w:rsidRDefault="00000000">
      <w:pPr>
        <w:tabs>
          <w:tab w:val="center" w:pos="2624"/>
          <w:tab w:val="center" w:pos="5245"/>
        </w:tabs>
        <w:spacing w:after="0" w:line="259" w:lineRule="auto"/>
        <w:ind w:left="0" w:right="0" w:firstLine="0"/>
        <w:jc w:val="left"/>
      </w:pPr>
      <w:r>
        <w:rPr>
          <w:rFonts w:ascii="Calibri" w:eastAsia="Calibri" w:hAnsi="Calibri" w:cs="Calibri"/>
          <w:sz w:val="22"/>
        </w:rPr>
        <w:tab/>
      </w:r>
      <w:r>
        <w:rPr>
          <w:b/>
          <w:sz w:val="21"/>
        </w:rPr>
        <w:t>Chemical Name:</w:t>
      </w:r>
      <w:r>
        <w:rPr>
          <w:sz w:val="23"/>
        </w:rPr>
        <w:t xml:space="preserve"> Poly Ether Polyol</w:t>
      </w:r>
      <w:r>
        <w:rPr>
          <w:color w:val="FF0000"/>
        </w:rPr>
        <w:t xml:space="preserve"> </w:t>
      </w:r>
      <w:r>
        <w:rPr>
          <w:color w:val="FF0000"/>
        </w:rPr>
        <w:tab/>
      </w:r>
      <w:r>
        <w:rPr>
          <w:rFonts w:ascii="Times New Roman" w:eastAsia="Times New Roman" w:hAnsi="Times New Roman" w:cs="Times New Roman"/>
        </w:rPr>
        <w:t xml:space="preserve"> </w:t>
      </w:r>
      <w:r>
        <w:t xml:space="preserve"> </w:t>
      </w:r>
    </w:p>
    <w:p w14:paraId="05EBAE01" w14:textId="77777777" w:rsidR="004265F9" w:rsidRDefault="00000000">
      <w:pPr>
        <w:spacing w:after="0" w:line="259" w:lineRule="auto"/>
        <w:ind w:left="658" w:right="0" w:firstLine="0"/>
        <w:jc w:val="left"/>
      </w:pPr>
      <w:r>
        <w:rPr>
          <w:sz w:val="23"/>
        </w:rPr>
        <w:t xml:space="preserve">  </w:t>
      </w:r>
      <w:r>
        <w:rPr>
          <w:sz w:val="23"/>
        </w:rPr>
        <w:tab/>
      </w:r>
      <w:r>
        <w:rPr>
          <w:rFonts w:ascii="Times New Roman" w:eastAsia="Times New Roman" w:hAnsi="Times New Roman" w:cs="Times New Roman"/>
        </w:rPr>
        <w:t xml:space="preserve"> </w:t>
      </w:r>
      <w:r>
        <w:t xml:space="preserve"> </w:t>
      </w:r>
    </w:p>
    <w:p w14:paraId="3D7EFFE1" w14:textId="77777777" w:rsidR="004265F9" w:rsidRDefault="00000000">
      <w:pPr>
        <w:pStyle w:val="Heading1"/>
        <w:spacing w:after="101"/>
        <w:ind w:left="931"/>
      </w:pPr>
      <w:r>
        <w:t xml:space="preserve">Polyether Triols </w:t>
      </w:r>
      <w:r>
        <w:rPr>
          <w:b w:val="0"/>
          <w:sz w:val="6"/>
        </w:rPr>
        <w:t xml:space="preserve"> </w:t>
      </w:r>
      <w:r>
        <w:rPr>
          <w:b w:val="0"/>
          <w:sz w:val="20"/>
        </w:rPr>
        <w:t xml:space="preserve"> </w:t>
      </w:r>
    </w:p>
    <w:p w14:paraId="4C2B3853" w14:textId="77777777" w:rsidR="004265F9" w:rsidRDefault="00000000">
      <w:pPr>
        <w:ind w:left="917" w:right="193"/>
      </w:pPr>
      <w:r>
        <w:t xml:space="preserve">I.C.C manufactures a wide range of polyether polyols that allow formulators to produce high quality polyurethanes. Polyols contain reactive hydroxyl (OH) groups which react with isocyanate (NCO) groups on isocyanates to form polyurethanes. Polyether triols are formed by propoxylating an initiator (addition of propylene oxide to an initiator).  In some cases, the initiator is ethoxylated (addition of ethylene oxide) as well as propoxylated. When polyether triols have ethylene oxide tips, the resulting hydroxyl groups are primary hydroxyls; propylene oxide tips yield secondary hydroxyl groups. Secondary hydroxyl groups react slower than primary hydroxyl groups as a result of the increased steric hindrance. We offer a wide variety of raw materials for the production of molded flexible foams.  </w:t>
      </w:r>
    </w:p>
    <w:p w14:paraId="311C9CF9" w14:textId="77777777" w:rsidR="004265F9" w:rsidRDefault="00000000">
      <w:pPr>
        <w:ind w:left="917" w:right="193"/>
      </w:pPr>
      <w:r>
        <w:rPr>
          <w:b/>
          <w:color w:val="1F497D"/>
        </w:rPr>
        <w:t xml:space="preserve">Polyol C7030 </w:t>
      </w:r>
      <w:r>
        <w:t>is</w:t>
      </w:r>
      <w:r>
        <w:rPr>
          <w:b/>
        </w:rPr>
        <w:t xml:space="preserve"> </w:t>
      </w:r>
      <w:r>
        <w:t xml:space="preserve">low molecular weight polyether polyol. A glycerin and propylene oxide-based polyether polyol triol with propylene oxide caped. Also, it is 100% active without any amine catalyst and relatively nontoxic.  </w:t>
      </w:r>
    </w:p>
    <w:p w14:paraId="31BEC79C" w14:textId="77777777" w:rsidR="004265F9" w:rsidRDefault="00000000">
      <w:pPr>
        <w:ind w:left="917" w:right="193"/>
      </w:pPr>
      <w:r>
        <w:rPr>
          <w:b/>
          <w:color w:val="1F497D"/>
        </w:rPr>
        <w:t xml:space="preserve">Polyol C7030 </w:t>
      </w:r>
      <w:r>
        <w:t xml:space="preserve">is applicable to various adherents. Exhibits high purity and the narrow polymerization degree distribution. It provides excellent adhesion and maximum efficiency with small amount application (cost-effectiveness). It is recommended for adhesives and sealants.   </w:t>
      </w:r>
    </w:p>
    <w:p w14:paraId="7EFC8CA0" w14:textId="77777777" w:rsidR="004265F9" w:rsidRDefault="00000000">
      <w:pPr>
        <w:pStyle w:val="Heading1"/>
        <w:ind w:left="931"/>
      </w:pPr>
      <w:r>
        <w:t xml:space="preserve">Application  </w:t>
      </w:r>
    </w:p>
    <w:p w14:paraId="39ABD7FA" w14:textId="77777777" w:rsidR="004265F9" w:rsidRDefault="00000000">
      <w:pPr>
        <w:spacing w:after="117" w:line="263" w:lineRule="auto"/>
        <w:ind w:left="946" w:right="0"/>
        <w:jc w:val="left"/>
      </w:pPr>
      <w:r>
        <w:rPr>
          <w:sz w:val="6"/>
        </w:rPr>
        <w:t xml:space="preserve"> </w:t>
      </w:r>
      <w:r>
        <w:t xml:space="preserve">Possibility to obtain urethane elastomers with good mechanical properties </w:t>
      </w:r>
    </w:p>
    <w:p w14:paraId="1089636C" w14:textId="77777777" w:rsidR="004265F9" w:rsidRDefault="00000000">
      <w:pPr>
        <w:spacing w:after="0" w:line="263" w:lineRule="auto"/>
        <w:ind w:left="946" w:right="0"/>
        <w:jc w:val="left"/>
      </w:pPr>
      <w:r>
        <w:t xml:space="preserve">Compatibility with reactive polymeric polyols allows extension of application options, </w:t>
      </w:r>
    </w:p>
    <w:p w14:paraId="01B7D24C" w14:textId="77777777" w:rsidR="004265F9" w:rsidRDefault="00000000">
      <w:pPr>
        <w:spacing w:after="0" w:line="263" w:lineRule="auto"/>
        <w:ind w:left="946" w:right="0"/>
        <w:jc w:val="left"/>
      </w:pPr>
      <w:r>
        <w:t xml:space="preserve">Cost-effective Polyurethane Sealants and Adhesives and acoustic insulations sectors.  </w:t>
      </w:r>
    </w:p>
    <w:p w14:paraId="040B5999" w14:textId="77777777" w:rsidR="004265F9" w:rsidRDefault="00000000">
      <w:pPr>
        <w:spacing w:after="12" w:line="259" w:lineRule="auto"/>
        <w:ind w:left="936" w:right="0" w:firstLine="0"/>
        <w:jc w:val="left"/>
      </w:pPr>
      <w:r>
        <w:t xml:space="preserve"> </w:t>
      </w:r>
    </w:p>
    <w:p w14:paraId="4278E799" w14:textId="77777777" w:rsidR="004265F9" w:rsidRDefault="00000000">
      <w:pPr>
        <w:pStyle w:val="Heading1"/>
        <w:ind w:left="931"/>
      </w:pPr>
      <w:r>
        <w:rPr>
          <w:noProof/>
        </w:rPr>
        <w:drawing>
          <wp:anchor distT="0" distB="0" distL="114300" distR="114300" simplePos="0" relativeHeight="251658240" behindDoc="0" locked="0" layoutInCell="1" allowOverlap="0" wp14:anchorId="552FFF6C" wp14:editId="2D66B66A">
            <wp:simplePos x="0" y="0"/>
            <wp:positionH relativeFrom="page">
              <wp:posOffset>3175</wp:posOffset>
            </wp:positionH>
            <wp:positionV relativeFrom="page">
              <wp:posOffset>14605</wp:posOffset>
            </wp:positionV>
            <wp:extent cx="7531608" cy="155130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531608" cy="1551305"/>
                    </a:xfrm>
                    <a:prstGeom prst="rect">
                      <a:avLst/>
                    </a:prstGeom>
                  </pic:spPr>
                </pic:pic>
              </a:graphicData>
            </a:graphic>
          </wp:anchor>
        </w:drawing>
      </w:r>
      <w:r>
        <w:rPr>
          <w:noProof/>
        </w:rPr>
        <w:drawing>
          <wp:anchor distT="0" distB="0" distL="114300" distR="114300" simplePos="0" relativeHeight="251659264" behindDoc="0" locked="0" layoutInCell="1" allowOverlap="0" wp14:anchorId="5870D4BA" wp14:editId="7B9DC3B3">
            <wp:simplePos x="0" y="0"/>
            <wp:positionH relativeFrom="page">
              <wp:posOffset>15875</wp:posOffset>
            </wp:positionH>
            <wp:positionV relativeFrom="page">
              <wp:posOffset>9467848</wp:posOffset>
            </wp:positionV>
            <wp:extent cx="7515225" cy="1200150"/>
            <wp:effectExtent l="0" t="0" r="0" b="0"/>
            <wp:wrapTopAndBottom/>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5"/>
                    <a:stretch>
                      <a:fillRect/>
                    </a:stretch>
                  </pic:blipFill>
                  <pic:spPr>
                    <a:xfrm>
                      <a:off x="0" y="0"/>
                      <a:ext cx="7515225" cy="1200150"/>
                    </a:xfrm>
                    <a:prstGeom prst="rect">
                      <a:avLst/>
                    </a:prstGeom>
                  </pic:spPr>
                </pic:pic>
              </a:graphicData>
            </a:graphic>
          </wp:anchor>
        </w:drawing>
      </w:r>
      <w:r>
        <w:t xml:space="preserve">Storage and Handling   </w:t>
      </w:r>
    </w:p>
    <w:p w14:paraId="3359BF13" w14:textId="77777777" w:rsidR="004265F9" w:rsidRDefault="00000000">
      <w:pPr>
        <w:spacing w:after="80" w:line="263" w:lineRule="auto"/>
        <w:ind w:left="946" w:right="0"/>
        <w:jc w:val="left"/>
      </w:pPr>
      <w:r>
        <w:rPr>
          <w:sz w:val="6"/>
        </w:rPr>
        <w:t xml:space="preserve"> </w:t>
      </w:r>
      <w:r>
        <w:t>Polyol C7030 is dispatched in polyethylene or corrugated steel, galvanized or carbon</w:t>
      </w:r>
      <w:r>
        <w:rPr>
          <w:sz w:val="18"/>
        </w:rPr>
        <w:t xml:space="preserve"> steel drums.  </w:t>
      </w:r>
    </w:p>
    <w:p w14:paraId="1504190B" w14:textId="77777777" w:rsidR="004265F9" w:rsidRDefault="00000000">
      <w:pPr>
        <w:spacing w:after="10" w:line="259" w:lineRule="auto"/>
        <w:ind w:left="279" w:right="0" w:firstLine="0"/>
        <w:jc w:val="left"/>
      </w:pPr>
      <w:r>
        <w:rPr>
          <w:color w:val="FF0000"/>
        </w:rPr>
        <w:t xml:space="preserve"> </w:t>
      </w:r>
      <w:r>
        <w:t xml:space="preserve"> </w:t>
      </w:r>
    </w:p>
    <w:p w14:paraId="59416601" w14:textId="77777777" w:rsidR="004265F9" w:rsidRDefault="00000000">
      <w:pPr>
        <w:pStyle w:val="Heading1"/>
        <w:ind w:left="274"/>
      </w:pPr>
      <w:r>
        <w:t>Shelf life</w:t>
      </w:r>
      <w:r>
        <w:rPr>
          <w:b w:val="0"/>
          <w:sz w:val="20"/>
        </w:rPr>
        <w:t xml:space="preserve"> </w:t>
      </w:r>
      <w:r>
        <w:rPr>
          <w:b w:val="0"/>
        </w:rPr>
        <w:t xml:space="preserve">  </w:t>
      </w:r>
      <w:r>
        <w:t xml:space="preserve"> </w:t>
      </w:r>
    </w:p>
    <w:p w14:paraId="3CF3183E" w14:textId="77777777" w:rsidR="004265F9" w:rsidRDefault="00000000">
      <w:pPr>
        <w:spacing w:after="115" w:line="263" w:lineRule="auto"/>
        <w:ind w:left="289" w:right="0"/>
        <w:jc w:val="left"/>
      </w:pPr>
      <w:r>
        <w:rPr>
          <w:sz w:val="6"/>
        </w:rPr>
        <w:t xml:space="preserve"> </w:t>
      </w:r>
      <w:r>
        <w:t xml:space="preserve">Polyol C7030 is stable for 2 years when stored in the original sealed containers in a cool and dry place.   </w:t>
      </w:r>
    </w:p>
    <w:p w14:paraId="54F5E13B" w14:textId="77777777" w:rsidR="004265F9" w:rsidRDefault="00000000">
      <w:pPr>
        <w:spacing w:after="3" w:line="259" w:lineRule="auto"/>
        <w:ind w:left="289" w:right="0"/>
        <w:jc w:val="left"/>
      </w:pPr>
      <w:r>
        <w:rPr>
          <w:b/>
        </w:rPr>
        <w:t xml:space="preserve">Safety  </w:t>
      </w:r>
    </w:p>
    <w:p w14:paraId="77CE850C" w14:textId="77777777" w:rsidR="004265F9" w:rsidRDefault="00000000">
      <w:pPr>
        <w:spacing w:after="127"/>
        <w:ind w:left="289" w:right="0"/>
      </w:pPr>
      <w:r>
        <w:rPr>
          <w:sz w:val="6"/>
        </w:rPr>
        <w:t xml:space="preserve"> </w:t>
      </w:r>
      <w:r>
        <w:t xml:space="preserve">Appropriate literature has been assembled which provides information concerning the health and safety precautions that must be observed when handling  </w:t>
      </w:r>
      <w:r>
        <w:rPr>
          <w:rFonts w:ascii="Times New Roman" w:eastAsia="Times New Roman" w:hAnsi="Times New Roman" w:cs="Times New Roman"/>
          <w:sz w:val="23"/>
        </w:rPr>
        <w:t xml:space="preserve"> </w:t>
      </w:r>
      <w:r>
        <w:t xml:space="preserve">Polyol C7030. Before working with these products, you must read and become familiar with the available information on their hazards, proper use, and handling.   </w:t>
      </w:r>
    </w:p>
    <w:p w14:paraId="48D31DC9" w14:textId="77777777" w:rsidR="004265F9" w:rsidRDefault="00000000">
      <w:pPr>
        <w:spacing w:after="0" w:line="259" w:lineRule="auto"/>
        <w:ind w:left="0" w:right="0" w:firstLine="0"/>
        <w:jc w:val="left"/>
      </w:pPr>
      <w:r>
        <w:rPr>
          <w:rFonts w:ascii="Times New Roman" w:eastAsia="Times New Roman" w:hAnsi="Times New Roman" w:cs="Times New Roman"/>
        </w:rPr>
        <w:t xml:space="preserve"> </w:t>
      </w:r>
      <w:r>
        <w:t xml:space="preserve"> </w:t>
      </w:r>
    </w:p>
    <w:tbl>
      <w:tblPr>
        <w:tblStyle w:val="TableGrid"/>
        <w:tblW w:w="5213" w:type="dxa"/>
        <w:tblInd w:w="189" w:type="dxa"/>
        <w:tblCellMar>
          <w:top w:w="25" w:type="dxa"/>
          <w:left w:w="140" w:type="dxa"/>
          <w:bottom w:w="0" w:type="dxa"/>
          <w:right w:w="0" w:type="dxa"/>
        </w:tblCellMar>
        <w:tblLook w:val="04A0" w:firstRow="1" w:lastRow="0" w:firstColumn="1" w:lastColumn="0" w:noHBand="0" w:noVBand="1"/>
      </w:tblPr>
      <w:tblGrid>
        <w:gridCol w:w="2313"/>
        <w:gridCol w:w="1613"/>
        <w:gridCol w:w="1287"/>
      </w:tblGrid>
      <w:tr w:rsidR="004265F9" w14:paraId="1A0F87C7" w14:textId="77777777">
        <w:trPr>
          <w:trHeight w:val="472"/>
        </w:trPr>
        <w:tc>
          <w:tcPr>
            <w:tcW w:w="2313" w:type="dxa"/>
            <w:tcBorders>
              <w:top w:val="single" w:sz="6" w:space="0" w:color="000000"/>
              <w:left w:val="single" w:sz="12" w:space="0" w:color="606060"/>
              <w:bottom w:val="single" w:sz="6" w:space="0" w:color="000000"/>
              <w:right w:val="single" w:sz="6" w:space="0" w:color="000000"/>
            </w:tcBorders>
            <w:shd w:val="clear" w:color="auto" w:fill="C6D9F1"/>
            <w:vAlign w:val="center"/>
          </w:tcPr>
          <w:p w14:paraId="662A8EBF" w14:textId="77777777" w:rsidR="004265F9" w:rsidRDefault="00000000">
            <w:pPr>
              <w:spacing w:after="0" w:line="259" w:lineRule="auto"/>
              <w:ind w:left="0" w:right="215" w:firstLine="0"/>
              <w:jc w:val="center"/>
            </w:pPr>
            <w:r>
              <w:rPr>
                <w:b/>
                <w:sz w:val="18"/>
              </w:rPr>
              <w:t xml:space="preserve">TEST </w:t>
            </w:r>
          </w:p>
        </w:tc>
        <w:tc>
          <w:tcPr>
            <w:tcW w:w="1613" w:type="dxa"/>
            <w:tcBorders>
              <w:top w:val="single" w:sz="6" w:space="0" w:color="000000"/>
              <w:left w:val="single" w:sz="6" w:space="0" w:color="000000"/>
              <w:bottom w:val="single" w:sz="6" w:space="0" w:color="000000"/>
              <w:right w:val="single" w:sz="6" w:space="0" w:color="000000"/>
            </w:tcBorders>
            <w:shd w:val="clear" w:color="auto" w:fill="C6D9F1"/>
          </w:tcPr>
          <w:p w14:paraId="09B3105A" w14:textId="77777777" w:rsidR="004265F9" w:rsidRDefault="00000000">
            <w:pPr>
              <w:spacing w:after="0" w:line="259" w:lineRule="auto"/>
              <w:ind w:left="0" w:right="0" w:firstLine="0"/>
              <w:jc w:val="center"/>
            </w:pPr>
            <w:r>
              <w:rPr>
                <w:b/>
                <w:sz w:val="18"/>
              </w:rPr>
              <w:t xml:space="preserve">STANDARD TEST METHOD </w:t>
            </w:r>
          </w:p>
        </w:tc>
        <w:tc>
          <w:tcPr>
            <w:tcW w:w="1287" w:type="dxa"/>
            <w:tcBorders>
              <w:top w:val="single" w:sz="6" w:space="0" w:color="000000"/>
              <w:left w:val="single" w:sz="6" w:space="0" w:color="000000"/>
              <w:bottom w:val="single" w:sz="6" w:space="0" w:color="000000"/>
              <w:right w:val="single" w:sz="12" w:space="0" w:color="606060"/>
            </w:tcBorders>
            <w:shd w:val="clear" w:color="auto" w:fill="C6D9F1"/>
            <w:vAlign w:val="center"/>
          </w:tcPr>
          <w:p w14:paraId="358713CE" w14:textId="77777777" w:rsidR="004265F9" w:rsidRDefault="00000000">
            <w:pPr>
              <w:spacing w:after="0" w:line="259" w:lineRule="auto"/>
              <w:ind w:left="0" w:right="49" w:firstLine="0"/>
              <w:jc w:val="center"/>
            </w:pPr>
            <w:r>
              <w:rPr>
                <w:b/>
                <w:sz w:val="18"/>
              </w:rPr>
              <w:t xml:space="preserve">RESULTS </w:t>
            </w:r>
          </w:p>
        </w:tc>
      </w:tr>
      <w:tr w:rsidR="004265F9" w14:paraId="7207E74C" w14:textId="77777777">
        <w:trPr>
          <w:trHeight w:val="299"/>
        </w:trPr>
        <w:tc>
          <w:tcPr>
            <w:tcW w:w="2313" w:type="dxa"/>
            <w:tcBorders>
              <w:top w:val="single" w:sz="6" w:space="0" w:color="000000"/>
              <w:left w:val="single" w:sz="12" w:space="0" w:color="606060"/>
              <w:bottom w:val="single" w:sz="6" w:space="0" w:color="000000"/>
              <w:right w:val="single" w:sz="6" w:space="0" w:color="000000"/>
            </w:tcBorders>
          </w:tcPr>
          <w:p w14:paraId="60D88AC6" w14:textId="77777777" w:rsidR="004265F9" w:rsidRDefault="00000000">
            <w:pPr>
              <w:spacing w:after="0" w:line="259" w:lineRule="auto"/>
              <w:ind w:left="0" w:right="196" w:firstLine="0"/>
              <w:jc w:val="center"/>
            </w:pPr>
            <w:r>
              <w:rPr>
                <w:sz w:val="18"/>
              </w:rPr>
              <w:t>Appearance</w:t>
            </w:r>
            <w:r>
              <w:t xml:space="preserve"> </w:t>
            </w:r>
          </w:p>
        </w:tc>
        <w:tc>
          <w:tcPr>
            <w:tcW w:w="1613" w:type="dxa"/>
            <w:tcBorders>
              <w:top w:val="single" w:sz="6" w:space="0" w:color="000000"/>
              <w:left w:val="single" w:sz="6" w:space="0" w:color="000000"/>
              <w:bottom w:val="single" w:sz="6" w:space="0" w:color="000000"/>
              <w:right w:val="single" w:sz="6" w:space="0" w:color="000000"/>
            </w:tcBorders>
          </w:tcPr>
          <w:p w14:paraId="6E50B195" w14:textId="77777777" w:rsidR="004265F9" w:rsidRDefault="00000000">
            <w:pPr>
              <w:spacing w:after="0" w:line="259" w:lineRule="auto"/>
              <w:ind w:left="0" w:right="214" w:firstLine="0"/>
              <w:jc w:val="center"/>
            </w:pPr>
            <w:r>
              <w:rPr>
                <w:sz w:val="18"/>
              </w:rPr>
              <w:t>—</w:t>
            </w:r>
            <w:r>
              <w:t xml:space="preserve"> </w:t>
            </w:r>
          </w:p>
        </w:tc>
        <w:tc>
          <w:tcPr>
            <w:tcW w:w="1287" w:type="dxa"/>
            <w:tcBorders>
              <w:top w:val="single" w:sz="6" w:space="0" w:color="000000"/>
              <w:left w:val="single" w:sz="6" w:space="0" w:color="000000"/>
              <w:bottom w:val="single" w:sz="6" w:space="0" w:color="000000"/>
              <w:right w:val="single" w:sz="12" w:space="0" w:color="606060"/>
            </w:tcBorders>
          </w:tcPr>
          <w:p w14:paraId="28B9914C" w14:textId="77777777" w:rsidR="004265F9" w:rsidRDefault="00000000">
            <w:pPr>
              <w:spacing w:after="0" w:line="259" w:lineRule="auto"/>
              <w:ind w:left="0" w:right="168" w:firstLine="0"/>
              <w:jc w:val="center"/>
            </w:pPr>
            <w:r>
              <w:rPr>
                <w:sz w:val="18"/>
              </w:rPr>
              <w:t>Liquid</w:t>
            </w:r>
            <w:r>
              <w:t xml:space="preserve"> </w:t>
            </w:r>
          </w:p>
        </w:tc>
      </w:tr>
      <w:tr w:rsidR="004265F9" w14:paraId="219BA617" w14:textId="77777777">
        <w:trPr>
          <w:trHeight w:val="278"/>
        </w:trPr>
        <w:tc>
          <w:tcPr>
            <w:tcW w:w="2313" w:type="dxa"/>
            <w:tcBorders>
              <w:top w:val="single" w:sz="6" w:space="0" w:color="000000"/>
              <w:left w:val="single" w:sz="12" w:space="0" w:color="606060"/>
              <w:bottom w:val="single" w:sz="6" w:space="0" w:color="000000"/>
              <w:right w:val="single" w:sz="6" w:space="0" w:color="000000"/>
            </w:tcBorders>
          </w:tcPr>
          <w:p w14:paraId="344154E2" w14:textId="77777777" w:rsidR="004265F9" w:rsidRDefault="00000000">
            <w:pPr>
              <w:spacing w:after="0" w:line="259" w:lineRule="auto"/>
              <w:ind w:left="0" w:right="200" w:firstLine="0"/>
              <w:jc w:val="center"/>
            </w:pPr>
            <w:r>
              <w:rPr>
                <w:sz w:val="18"/>
              </w:rPr>
              <w:t>Color at 50°C, APHA</w:t>
            </w:r>
            <w:r>
              <w:t xml:space="preserve"> </w:t>
            </w:r>
          </w:p>
        </w:tc>
        <w:tc>
          <w:tcPr>
            <w:tcW w:w="1613" w:type="dxa"/>
            <w:tcBorders>
              <w:top w:val="single" w:sz="6" w:space="0" w:color="000000"/>
              <w:left w:val="single" w:sz="6" w:space="0" w:color="000000"/>
              <w:bottom w:val="single" w:sz="6" w:space="0" w:color="000000"/>
              <w:right w:val="single" w:sz="6" w:space="0" w:color="000000"/>
            </w:tcBorders>
          </w:tcPr>
          <w:p w14:paraId="496228C2" w14:textId="77777777" w:rsidR="004265F9" w:rsidRDefault="00000000">
            <w:pPr>
              <w:spacing w:after="0" w:line="259" w:lineRule="auto"/>
              <w:ind w:left="0" w:right="169" w:firstLine="0"/>
              <w:jc w:val="center"/>
            </w:pPr>
            <w:r>
              <w:rPr>
                <w:sz w:val="18"/>
              </w:rPr>
              <w:t>ASTM D-1209</w:t>
            </w:r>
            <w:r>
              <w:t xml:space="preserve"> </w:t>
            </w:r>
          </w:p>
        </w:tc>
        <w:tc>
          <w:tcPr>
            <w:tcW w:w="1287" w:type="dxa"/>
            <w:tcBorders>
              <w:top w:val="single" w:sz="6" w:space="0" w:color="000000"/>
              <w:left w:val="single" w:sz="6" w:space="0" w:color="000000"/>
              <w:bottom w:val="single" w:sz="6" w:space="0" w:color="000000"/>
              <w:right w:val="single" w:sz="12" w:space="0" w:color="606060"/>
            </w:tcBorders>
          </w:tcPr>
          <w:p w14:paraId="55C27F54" w14:textId="77777777" w:rsidR="004265F9" w:rsidRDefault="00000000">
            <w:pPr>
              <w:spacing w:after="0" w:line="259" w:lineRule="auto"/>
              <w:ind w:left="254" w:right="0" w:firstLine="0"/>
              <w:jc w:val="left"/>
            </w:pPr>
            <w:r>
              <w:rPr>
                <w:sz w:val="18"/>
              </w:rPr>
              <w:t>Max. 50</w:t>
            </w:r>
            <w:r>
              <w:t xml:space="preserve"> </w:t>
            </w:r>
          </w:p>
        </w:tc>
      </w:tr>
      <w:tr w:rsidR="004265F9" w14:paraId="42966B2F" w14:textId="77777777">
        <w:trPr>
          <w:trHeight w:val="276"/>
        </w:trPr>
        <w:tc>
          <w:tcPr>
            <w:tcW w:w="2313" w:type="dxa"/>
            <w:tcBorders>
              <w:top w:val="single" w:sz="6" w:space="0" w:color="000000"/>
              <w:left w:val="single" w:sz="12" w:space="0" w:color="606060"/>
              <w:bottom w:val="single" w:sz="6" w:space="0" w:color="000000"/>
              <w:right w:val="single" w:sz="6" w:space="0" w:color="000000"/>
            </w:tcBorders>
          </w:tcPr>
          <w:p w14:paraId="6B3F7B66" w14:textId="77777777" w:rsidR="004265F9" w:rsidRDefault="00000000">
            <w:pPr>
              <w:spacing w:after="0" w:line="259" w:lineRule="auto"/>
              <w:ind w:left="0" w:right="201" w:firstLine="0"/>
              <w:jc w:val="center"/>
            </w:pPr>
            <w:r>
              <w:rPr>
                <w:sz w:val="18"/>
              </w:rPr>
              <w:t>Density at 25°C, g/ml</w:t>
            </w:r>
            <w:r>
              <w:t xml:space="preserve"> </w:t>
            </w:r>
          </w:p>
        </w:tc>
        <w:tc>
          <w:tcPr>
            <w:tcW w:w="1613" w:type="dxa"/>
            <w:tcBorders>
              <w:top w:val="single" w:sz="6" w:space="0" w:color="000000"/>
              <w:left w:val="single" w:sz="6" w:space="0" w:color="000000"/>
              <w:bottom w:val="single" w:sz="6" w:space="0" w:color="000000"/>
              <w:right w:val="single" w:sz="6" w:space="0" w:color="000000"/>
            </w:tcBorders>
          </w:tcPr>
          <w:p w14:paraId="7D6DD6FC" w14:textId="77777777" w:rsidR="004265F9" w:rsidRDefault="00000000">
            <w:pPr>
              <w:spacing w:after="0" w:line="259" w:lineRule="auto"/>
              <w:ind w:left="0" w:right="169" w:firstLine="0"/>
              <w:jc w:val="center"/>
            </w:pPr>
            <w:r>
              <w:rPr>
                <w:sz w:val="18"/>
              </w:rPr>
              <w:t>ASTM D-1298</w:t>
            </w:r>
            <w:r>
              <w:t xml:space="preserve"> </w:t>
            </w:r>
          </w:p>
        </w:tc>
        <w:tc>
          <w:tcPr>
            <w:tcW w:w="1287" w:type="dxa"/>
            <w:tcBorders>
              <w:top w:val="single" w:sz="6" w:space="0" w:color="000000"/>
              <w:left w:val="single" w:sz="6" w:space="0" w:color="000000"/>
              <w:bottom w:val="single" w:sz="6" w:space="0" w:color="000000"/>
              <w:right w:val="single" w:sz="12" w:space="0" w:color="606060"/>
            </w:tcBorders>
          </w:tcPr>
          <w:p w14:paraId="79DD8724" w14:textId="77777777" w:rsidR="004265F9" w:rsidRDefault="00000000">
            <w:pPr>
              <w:spacing w:after="0" w:line="259" w:lineRule="auto"/>
              <w:ind w:left="0" w:right="75" w:firstLine="0"/>
              <w:jc w:val="center"/>
            </w:pPr>
            <w:r>
              <w:rPr>
                <w:sz w:val="18"/>
              </w:rPr>
              <w:t>1.01±0.01</w:t>
            </w:r>
            <w:r>
              <w:t xml:space="preserve"> </w:t>
            </w:r>
          </w:p>
        </w:tc>
      </w:tr>
      <w:tr w:rsidR="004265F9" w14:paraId="31E60C97" w14:textId="77777777">
        <w:trPr>
          <w:trHeight w:val="276"/>
        </w:trPr>
        <w:tc>
          <w:tcPr>
            <w:tcW w:w="2313" w:type="dxa"/>
            <w:tcBorders>
              <w:top w:val="single" w:sz="6" w:space="0" w:color="000000"/>
              <w:left w:val="single" w:sz="12" w:space="0" w:color="606060"/>
              <w:bottom w:val="single" w:sz="6" w:space="0" w:color="000000"/>
              <w:right w:val="single" w:sz="6" w:space="0" w:color="000000"/>
            </w:tcBorders>
          </w:tcPr>
          <w:p w14:paraId="1F9AD4B3" w14:textId="77777777" w:rsidR="004265F9" w:rsidRDefault="00000000">
            <w:pPr>
              <w:spacing w:after="0" w:line="259" w:lineRule="auto"/>
              <w:ind w:left="535" w:right="0" w:firstLine="0"/>
              <w:jc w:val="left"/>
            </w:pPr>
            <w:r>
              <w:rPr>
                <w:sz w:val="18"/>
              </w:rPr>
              <w:t>pH (5% aqueous)</w:t>
            </w:r>
            <w:r>
              <w:t xml:space="preserve"> </w:t>
            </w:r>
          </w:p>
        </w:tc>
        <w:tc>
          <w:tcPr>
            <w:tcW w:w="1613" w:type="dxa"/>
            <w:tcBorders>
              <w:top w:val="single" w:sz="6" w:space="0" w:color="000000"/>
              <w:left w:val="single" w:sz="6" w:space="0" w:color="000000"/>
              <w:bottom w:val="single" w:sz="6" w:space="0" w:color="000000"/>
              <w:right w:val="single" w:sz="6" w:space="0" w:color="000000"/>
            </w:tcBorders>
          </w:tcPr>
          <w:p w14:paraId="11DE9CB7" w14:textId="77777777" w:rsidR="004265F9" w:rsidRDefault="00000000">
            <w:pPr>
              <w:spacing w:after="0" w:line="259" w:lineRule="auto"/>
              <w:ind w:left="0" w:right="169" w:firstLine="0"/>
              <w:jc w:val="center"/>
            </w:pPr>
            <w:r>
              <w:rPr>
                <w:sz w:val="18"/>
              </w:rPr>
              <w:t>ASTM D-1172</w:t>
            </w:r>
            <w:r>
              <w:t xml:space="preserve"> </w:t>
            </w:r>
          </w:p>
        </w:tc>
        <w:tc>
          <w:tcPr>
            <w:tcW w:w="1287" w:type="dxa"/>
            <w:tcBorders>
              <w:top w:val="single" w:sz="6" w:space="0" w:color="000000"/>
              <w:left w:val="single" w:sz="6" w:space="0" w:color="000000"/>
              <w:bottom w:val="single" w:sz="6" w:space="0" w:color="000000"/>
              <w:right w:val="single" w:sz="12" w:space="0" w:color="606060"/>
            </w:tcBorders>
          </w:tcPr>
          <w:p w14:paraId="242EC91C" w14:textId="77777777" w:rsidR="004265F9" w:rsidRDefault="00000000">
            <w:pPr>
              <w:spacing w:after="0" w:line="259" w:lineRule="auto"/>
              <w:ind w:left="0" w:right="76" w:firstLine="0"/>
              <w:jc w:val="center"/>
            </w:pPr>
            <w:r>
              <w:rPr>
                <w:sz w:val="18"/>
              </w:rPr>
              <w:t>5-7</w:t>
            </w:r>
            <w:r>
              <w:t xml:space="preserve"> </w:t>
            </w:r>
          </w:p>
        </w:tc>
      </w:tr>
      <w:tr w:rsidR="004265F9" w14:paraId="50CEC460" w14:textId="77777777">
        <w:trPr>
          <w:trHeight w:val="274"/>
        </w:trPr>
        <w:tc>
          <w:tcPr>
            <w:tcW w:w="2313" w:type="dxa"/>
            <w:tcBorders>
              <w:top w:val="single" w:sz="6" w:space="0" w:color="000000"/>
              <w:left w:val="single" w:sz="12" w:space="0" w:color="606060"/>
              <w:bottom w:val="single" w:sz="6" w:space="0" w:color="000000"/>
              <w:right w:val="single" w:sz="6" w:space="0" w:color="000000"/>
            </w:tcBorders>
          </w:tcPr>
          <w:p w14:paraId="617DD964" w14:textId="77777777" w:rsidR="004265F9" w:rsidRDefault="00000000">
            <w:pPr>
              <w:spacing w:after="0" w:line="259" w:lineRule="auto"/>
              <w:ind w:left="331" w:right="0" w:firstLine="0"/>
              <w:jc w:val="left"/>
            </w:pPr>
            <w:r>
              <w:rPr>
                <w:sz w:val="18"/>
              </w:rPr>
              <w:t>Viscosity at 25°C, cP</w:t>
            </w:r>
            <w:r>
              <w:t xml:space="preserve"> </w:t>
            </w:r>
          </w:p>
        </w:tc>
        <w:tc>
          <w:tcPr>
            <w:tcW w:w="1613" w:type="dxa"/>
            <w:tcBorders>
              <w:top w:val="single" w:sz="6" w:space="0" w:color="000000"/>
              <w:left w:val="single" w:sz="6" w:space="0" w:color="000000"/>
              <w:bottom w:val="single" w:sz="6" w:space="0" w:color="000000"/>
              <w:right w:val="single" w:sz="6" w:space="0" w:color="000000"/>
            </w:tcBorders>
          </w:tcPr>
          <w:p w14:paraId="3409B7AE" w14:textId="77777777" w:rsidR="004265F9" w:rsidRDefault="00000000">
            <w:pPr>
              <w:spacing w:after="0" w:line="259" w:lineRule="auto"/>
              <w:ind w:left="0" w:right="126" w:firstLine="0"/>
              <w:jc w:val="center"/>
            </w:pPr>
            <w:r>
              <w:rPr>
                <w:sz w:val="18"/>
              </w:rPr>
              <w:t>ASTM D-445</w:t>
            </w:r>
            <w:r>
              <w:t xml:space="preserve"> </w:t>
            </w:r>
          </w:p>
        </w:tc>
        <w:tc>
          <w:tcPr>
            <w:tcW w:w="1287" w:type="dxa"/>
            <w:tcBorders>
              <w:top w:val="single" w:sz="6" w:space="0" w:color="000000"/>
              <w:left w:val="single" w:sz="6" w:space="0" w:color="000000"/>
              <w:bottom w:val="single" w:sz="6" w:space="0" w:color="000000"/>
              <w:right w:val="single" w:sz="12" w:space="0" w:color="606060"/>
            </w:tcBorders>
          </w:tcPr>
          <w:p w14:paraId="73D86CB1" w14:textId="77777777" w:rsidR="004265F9" w:rsidRDefault="00000000">
            <w:pPr>
              <w:spacing w:after="0" w:line="259" w:lineRule="auto"/>
              <w:ind w:left="283" w:right="0" w:firstLine="0"/>
              <w:jc w:val="left"/>
            </w:pPr>
            <w:r>
              <w:rPr>
                <w:sz w:val="18"/>
              </w:rPr>
              <w:t>300±50</w:t>
            </w:r>
            <w:r>
              <w:t xml:space="preserve"> </w:t>
            </w:r>
          </w:p>
        </w:tc>
      </w:tr>
      <w:tr w:rsidR="004265F9" w14:paraId="17B8093E" w14:textId="77777777">
        <w:trPr>
          <w:trHeight w:val="281"/>
        </w:trPr>
        <w:tc>
          <w:tcPr>
            <w:tcW w:w="2313" w:type="dxa"/>
            <w:tcBorders>
              <w:top w:val="single" w:sz="6" w:space="0" w:color="000000"/>
              <w:left w:val="single" w:sz="12" w:space="0" w:color="606060"/>
              <w:bottom w:val="single" w:sz="6" w:space="0" w:color="000000"/>
              <w:right w:val="single" w:sz="6" w:space="0" w:color="000000"/>
            </w:tcBorders>
          </w:tcPr>
          <w:p w14:paraId="27507D4E" w14:textId="77777777" w:rsidR="004265F9" w:rsidRDefault="00000000">
            <w:pPr>
              <w:spacing w:after="0" w:line="259" w:lineRule="auto"/>
              <w:ind w:left="0" w:right="0" w:firstLine="0"/>
              <w:jc w:val="left"/>
            </w:pPr>
            <w:r>
              <w:rPr>
                <w:sz w:val="18"/>
              </w:rPr>
              <w:t>Hydroxyl value, mg KOH/g</w:t>
            </w:r>
            <w:r>
              <w:t xml:space="preserve"> </w:t>
            </w:r>
          </w:p>
        </w:tc>
        <w:tc>
          <w:tcPr>
            <w:tcW w:w="1613" w:type="dxa"/>
            <w:tcBorders>
              <w:top w:val="single" w:sz="6" w:space="0" w:color="000000"/>
              <w:left w:val="single" w:sz="6" w:space="0" w:color="000000"/>
              <w:bottom w:val="single" w:sz="6" w:space="0" w:color="000000"/>
              <w:right w:val="single" w:sz="6" w:space="0" w:color="000000"/>
            </w:tcBorders>
          </w:tcPr>
          <w:p w14:paraId="55E3D86D" w14:textId="77777777" w:rsidR="004265F9" w:rsidRDefault="00000000">
            <w:pPr>
              <w:spacing w:after="0" w:line="259" w:lineRule="auto"/>
              <w:ind w:left="0" w:right="169" w:firstLine="0"/>
              <w:jc w:val="center"/>
            </w:pPr>
            <w:r>
              <w:rPr>
                <w:sz w:val="18"/>
              </w:rPr>
              <w:t>ASTM D-4252</w:t>
            </w:r>
            <w:r>
              <w:t xml:space="preserve"> </w:t>
            </w:r>
          </w:p>
        </w:tc>
        <w:tc>
          <w:tcPr>
            <w:tcW w:w="1287" w:type="dxa"/>
            <w:tcBorders>
              <w:top w:val="single" w:sz="6" w:space="0" w:color="000000"/>
              <w:left w:val="single" w:sz="6" w:space="0" w:color="000000"/>
              <w:bottom w:val="single" w:sz="6" w:space="0" w:color="000000"/>
              <w:right w:val="single" w:sz="12" w:space="0" w:color="606060"/>
            </w:tcBorders>
          </w:tcPr>
          <w:p w14:paraId="20F2A531" w14:textId="77777777" w:rsidR="004265F9" w:rsidRDefault="00000000">
            <w:pPr>
              <w:spacing w:after="0" w:line="259" w:lineRule="auto"/>
              <w:ind w:left="0" w:right="81" w:firstLine="0"/>
              <w:jc w:val="center"/>
            </w:pPr>
            <w:r>
              <w:rPr>
                <w:sz w:val="18"/>
              </w:rPr>
              <w:t>255±2</w:t>
            </w:r>
            <w:r>
              <w:t xml:space="preserve"> </w:t>
            </w:r>
          </w:p>
        </w:tc>
      </w:tr>
      <w:tr w:rsidR="004265F9" w14:paraId="531B6093" w14:textId="77777777">
        <w:trPr>
          <w:trHeight w:val="295"/>
        </w:trPr>
        <w:tc>
          <w:tcPr>
            <w:tcW w:w="2313" w:type="dxa"/>
            <w:tcBorders>
              <w:top w:val="single" w:sz="6" w:space="0" w:color="000000"/>
              <w:left w:val="single" w:sz="12" w:space="0" w:color="606060"/>
              <w:bottom w:val="single" w:sz="4" w:space="0" w:color="000000"/>
              <w:right w:val="single" w:sz="6" w:space="0" w:color="000000"/>
            </w:tcBorders>
          </w:tcPr>
          <w:p w14:paraId="0A474B18" w14:textId="77777777" w:rsidR="004265F9" w:rsidRDefault="00000000">
            <w:pPr>
              <w:spacing w:after="0" w:line="259" w:lineRule="auto"/>
              <w:ind w:left="698" w:right="0" w:firstLine="0"/>
              <w:jc w:val="left"/>
            </w:pPr>
            <w:r>
              <w:rPr>
                <w:sz w:val="18"/>
              </w:rPr>
              <w:t>Water, percent</w:t>
            </w:r>
            <w:r>
              <w:t xml:space="preserve"> </w:t>
            </w:r>
          </w:p>
        </w:tc>
        <w:tc>
          <w:tcPr>
            <w:tcW w:w="1613" w:type="dxa"/>
            <w:tcBorders>
              <w:top w:val="single" w:sz="6" w:space="0" w:color="000000"/>
              <w:left w:val="single" w:sz="6" w:space="0" w:color="000000"/>
              <w:bottom w:val="single" w:sz="4" w:space="0" w:color="000000"/>
              <w:right w:val="single" w:sz="6" w:space="0" w:color="000000"/>
            </w:tcBorders>
          </w:tcPr>
          <w:p w14:paraId="6C189AB4" w14:textId="77777777" w:rsidR="004265F9" w:rsidRDefault="00000000">
            <w:pPr>
              <w:spacing w:after="0" w:line="259" w:lineRule="auto"/>
              <w:ind w:left="0" w:right="121" w:firstLine="0"/>
              <w:jc w:val="center"/>
            </w:pPr>
            <w:r>
              <w:rPr>
                <w:sz w:val="18"/>
              </w:rPr>
              <w:t>ASTM E-203</w:t>
            </w:r>
            <w:r>
              <w:t xml:space="preserve"> </w:t>
            </w:r>
          </w:p>
        </w:tc>
        <w:tc>
          <w:tcPr>
            <w:tcW w:w="1287" w:type="dxa"/>
            <w:tcBorders>
              <w:top w:val="single" w:sz="6" w:space="0" w:color="000000"/>
              <w:left w:val="single" w:sz="6" w:space="0" w:color="000000"/>
              <w:bottom w:val="single" w:sz="4" w:space="0" w:color="000000"/>
              <w:right w:val="single" w:sz="12" w:space="0" w:color="606060"/>
            </w:tcBorders>
          </w:tcPr>
          <w:p w14:paraId="06F3D412" w14:textId="77777777" w:rsidR="004265F9" w:rsidRDefault="00000000">
            <w:pPr>
              <w:spacing w:after="0" w:line="259" w:lineRule="auto"/>
              <w:ind w:left="213" w:right="0" w:firstLine="0"/>
              <w:jc w:val="left"/>
            </w:pPr>
            <w:r>
              <w:rPr>
                <w:sz w:val="18"/>
              </w:rPr>
              <w:t>Max. 0.1</w:t>
            </w:r>
            <w:r>
              <w:t xml:space="preserve"> </w:t>
            </w:r>
          </w:p>
        </w:tc>
      </w:tr>
    </w:tbl>
    <w:p w14:paraId="5C54BD6B" w14:textId="77777777" w:rsidR="004265F9" w:rsidRDefault="00000000">
      <w:pPr>
        <w:spacing w:after="28" w:line="259" w:lineRule="auto"/>
        <w:ind w:left="29" w:right="0" w:firstLine="0"/>
        <w:jc w:val="left"/>
      </w:pPr>
      <w:r>
        <w:rPr>
          <w:rFonts w:ascii="Times New Roman" w:eastAsia="Times New Roman" w:hAnsi="Times New Roman" w:cs="Times New Roman"/>
          <w:sz w:val="15"/>
        </w:rPr>
        <w:t xml:space="preserve"> </w:t>
      </w:r>
      <w:r>
        <w:t xml:space="preserve"> </w:t>
      </w:r>
    </w:p>
    <w:p w14:paraId="39F39FCB" w14:textId="77777777" w:rsidR="004265F9" w:rsidRDefault="00000000">
      <w:pPr>
        <w:spacing w:after="3" w:line="259" w:lineRule="auto"/>
        <w:ind w:left="168" w:right="0"/>
        <w:jc w:val="left"/>
      </w:pPr>
      <w:r>
        <w:rPr>
          <w:b/>
        </w:rPr>
        <w:t xml:space="preserve">Health Effects </w:t>
      </w:r>
      <w:r>
        <w:t xml:space="preserve"> </w:t>
      </w:r>
    </w:p>
    <w:p w14:paraId="5245F421" w14:textId="77777777" w:rsidR="004265F9" w:rsidRDefault="00000000">
      <w:pPr>
        <w:spacing w:after="80" w:line="263" w:lineRule="auto"/>
        <w:ind w:left="168" w:right="0"/>
        <w:jc w:val="left"/>
      </w:pPr>
      <w:r>
        <w:rPr>
          <w:b/>
          <w:color w:val="FF0000"/>
          <w:sz w:val="10"/>
        </w:rPr>
        <w:t xml:space="preserve"> </w:t>
      </w:r>
      <w:r>
        <w:rPr>
          <w:b/>
        </w:rPr>
        <w:t>Inhalation:</w:t>
      </w:r>
      <w:r>
        <w:t xml:space="preserve"> Remove victim from exposure to fresh air immediately, if not breathing, give artificial respiration; if breathing is difficult, give medical oxygen. Get medical aid immediately.  </w:t>
      </w:r>
    </w:p>
    <w:p w14:paraId="60B37778" w14:textId="77777777" w:rsidR="004265F9" w:rsidRDefault="00000000">
      <w:pPr>
        <w:spacing w:after="80" w:line="263" w:lineRule="auto"/>
        <w:ind w:left="168" w:right="0"/>
        <w:jc w:val="left"/>
      </w:pPr>
      <w:r>
        <w:rPr>
          <w:sz w:val="10"/>
        </w:rPr>
        <w:t xml:space="preserve"> </w:t>
      </w:r>
      <w:r>
        <w:rPr>
          <w:b/>
        </w:rPr>
        <w:t>Ingestion:</w:t>
      </w:r>
      <w:r>
        <w:t xml:space="preserve"> Rinse mouth with plenty of milk or water (only if victim is conscious and alert). Get medical aid immediately.  </w:t>
      </w:r>
    </w:p>
    <w:p w14:paraId="5FFB1C7F" w14:textId="77777777" w:rsidR="004265F9" w:rsidRDefault="00000000">
      <w:pPr>
        <w:spacing w:after="80" w:line="263" w:lineRule="auto"/>
        <w:ind w:left="168" w:right="0"/>
        <w:jc w:val="left"/>
      </w:pPr>
      <w:r>
        <w:rPr>
          <w:sz w:val="10"/>
        </w:rPr>
        <w:t xml:space="preserve"> </w:t>
      </w:r>
      <w:r>
        <w:rPr>
          <w:b/>
        </w:rPr>
        <w:t>Skin Contact:</w:t>
      </w:r>
      <w:r>
        <w:t xml:space="preserve"> If skin contact occurs, wash the affected area with plenty of water and a neutral soap for a minimum of 5 minutes.  </w:t>
      </w:r>
    </w:p>
    <w:p w14:paraId="3F810F2D" w14:textId="77777777" w:rsidR="004265F9" w:rsidRDefault="00000000">
      <w:pPr>
        <w:spacing w:after="80" w:line="263" w:lineRule="auto"/>
        <w:ind w:left="168" w:right="0"/>
        <w:jc w:val="left"/>
      </w:pPr>
      <w:r>
        <w:rPr>
          <w:sz w:val="10"/>
        </w:rPr>
        <w:t xml:space="preserve"> </w:t>
      </w:r>
      <w:r>
        <w:rPr>
          <w:b/>
        </w:rPr>
        <w:t>Eye Contact:</w:t>
      </w:r>
      <w:r>
        <w:t xml:space="preserve"> If eye contact occurs, wash with plenty of clean water or amphoteric eye solution for a minimum of 15 minutes, holding the eyes open, medical advice should be followed. </w:t>
      </w:r>
      <w:r>
        <w:rPr>
          <w:rFonts w:ascii="Times New Roman" w:eastAsia="Times New Roman" w:hAnsi="Times New Roman" w:cs="Times New Roman"/>
        </w:rPr>
        <w:t xml:space="preserve"> </w:t>
      </w:r>
      <w:r>
        <w:t xml:space="preserve"> </w:t>
      </w:r>
    </w:p>
    <w:sectPr w:rsidR="004265F9">
      <w:pgSz w:w="11899" w:h="16841"/>
      <w:pgMar w:top="1440" w:right="717" w:bottom="1440" w:left="5" w:header="720" w:footer="720" w:gutter="0"/>
      <w:cols w:num="2" w:space="6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F9"/>
    <w:rsid w:val="004265F9"/>
    <w:rsid w:val="007F1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8847"/>
  <w15:docId w15:val="{85D61D41-7644-4D78-9020-3EDA2C65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49" w:lineRule="auto"/>
      <w:ind w:left="932" w:right="206"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946"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Mr.Monajemi</dc:creator>
  <cp:keywords/>
  <cp:lastModifiedBy>Mrs.Vahed</cp:lastModifiedBy>
  <cp:revision>2</cp:revision>
  <dcterms:created xsi:type="dcterms:W3CDTF">2023-04-10T11:58:00Z</dcterms:created>
  <dcterms:modified xsi:type="dcterms:W3CDTF">2023-04-10T11:58:00Z</dcterms:modified>
</cp:coreProperties>
</file>